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NextCure,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Affinity Asset Advisors,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274,073.00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274,073.00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274,073.00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Michael Cho</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274,073.00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274,073.00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274,073.00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NextCure,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9000 Virginia Manor Road, Suite 200, Beltsville, Maryland, 20705</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Affinity Asset Advisors, LLC Michael Cho</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 Park Avenue Suite 1403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Affinity Asset Advisors, LLC is a Delaware limited liability company, and Michael Cho is an individual and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securities reported herein are directly held by Affinity Healthcare Fund, LP (the "Fund"). Affinity Asset Advisors, LLC (the "Adviser") is the investment manager of the Fund and exercises voting and investment power over the securities held directly by the Fund reported herein pursuant to an investment management agreement between the Adviser, the Fund, and the general partner of the Fund. The Adviser may be deemed to beneficially own the securities reported herein held by the Fund by virtue of its position as investment manager of the Fund. Michael Cho, the managing member of the Adviser, may be deemed a beneficial owner of the securities reported herein held by the Fund. As of June 30, 2026, the Adviser and Mr. Cho (collectively, the "Reporting Persons") beneficially own 274,073 shares of common stock, $0.001 par value per share ("Common Stock"), of NextCure, Inc. (the "Issuer"), which amount includes 232,113 shares of Common Stock issuable upon exercise of warrants (the "Warrants"). The Warrants are all subject to a beneficial ownership limitation of 9.99% of the number of shares of Common Stock of the Issuer outstanding immediately after giving effect to the issuance of the shares issuable upon exercise of the Warrants (the "Beneficial Ownership Limitation").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the Reporting Persons beneficially own approximately 6.4% of the Common Stock outstanding. The percentages disclosed above are based on 4,301,064 shares of Common Stock of the Issuer outstanding as of June 30, 2026, consisting of (a) the 4,068,951 shares of Common Stock of the Issuer outstanding as of June 30, 2026, as set forth in the Issuer's Form 10-Q filed with the Securities and Exchange Commission (the "SEC") on August 6, 2026, and (b) 232,113 shares of Common Stock issuable upon the exercise of the Warrants, after giving effect to the Beneficial Ownership Limitation.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As of June 30, 2026, the Reporting Persons have sole power to vote or to direct the vote of 274,073 shares of Common Stock, which amount includes 232,113 shares of Common Stock issuable upon the exercise of warrants after giving effect to the Beneficial Ownership Limitation.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As of June 30, 2026, the Reporting Persons have shared power to vote or to direct the vote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As of June 30, 2026, the Reporting Persons have sole power to dispose or to direct the disposition of 274,073 shares of Common Stock, which amount includes 232,113 shares of Common Stock issuable upon the exercise of warrants after giving effect to the Beneficial Ownership Limitation.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As of June 30, 2026, the Reporting Persons have shared power to dispose or to direct the disposition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Affinity Asset Advisors, LLC</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Andrew Weinstein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Andrew Weinstein, Chief Financial Officer and Chief Compliance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Michael Cho</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Michael Cho</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Michael Cho, Self</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1326</Words>
  <Characters>6807</Characters>
  <CharactersWithSpaces>8104</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